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5A" w:rsidRDefault="00C5525A" w:rsidP="00C5525A">
      <w:pPr>
        <w:tabs>
          <w:tab w:val="left" w:pos="5400"/>
        </w:tabs>
        <w:spacing w:after="0" w:line="240" w:lineRule="auto"/>
        <w:rPr>
          <w:rFonts w:ascii="Calibri" w:hAnsi="Calibri"/>
        </w:rPr>
      </w:pPr>
      <w:bookmarkStart w:id="0" w:name="_GoBack"/>
      <w:bookmarkEnd w:id="0"/>
      <w:r>
        <w:rPr>
          <w:rFonts w:cs="Arial"/>
          <w:noProof/>
          <w:color w:val="000000"/>
          <w:lang w:eastAsia="fr-CH"/>
        </w:rPr>
        <w:drawing>
          <wp:inline distT="0" distB="0" distL="0" distR="0" wp14:anchorId="23DFCE88" wp14:editId="5C02FDEA">
            <wp:extent cx="2183765" cy="552450"/>
            <wp:effectExtent l="0" t="0" r="0" b="0"/>
            <wp:docPr id="1" name="Image 1" descr="VilleFR logo v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eFR logo vag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765" cy="552450"/>
                    </a:xfrm>
                    <a:prstGeom prst="rect">
                      <a:avLst/>
                    </a:prstGeom>
                    <a:noFill/>
                    <a:ln>
                      <a:noFill/>
                    </a:ln>
                  </pic:spPr>
                </pic:pic>
              </a:graphicData>
            </a:graphic>
          </wp:inline>
        </w:drawing>
      </w:r>
    </w:p>
    <w:p w:rsidR="00C5525A" w:rsidRDefault="00C5525A" w:rsidP="00C5525A">
      <w:pPr>
        <w:tabs>
          <w:tab w:val="left" w:pos="5400"/>
        </w:tabs>
        <w:spacing w:after="0" w:line="240" w:lineRule="auto"/>
        <w:rPr>
          <w:rFonts w:ascii="Calibri" w:hAnsi="Calibri"/>
        </w:rPr>
      </w:pPr>
    </w:p>
    <w:p w:rsidR="00C5525A" w:rsidRPr="001B3636" w:rsidRDefault="00C5525A" w:rsidP="00C5525A">
      <w:pPr>
        <w:tabs>
          <w:tab w:val="left" w:pos="5400"/>
        </w:tabs>
        <w:spacing w:after="0" w:line="240" w:lineRule="auto"/>
        <w:rPr>
          <w:rFonts w:ascii="Calibri" w:hAnsi="Calibri"/>
        </w:rPr>
      </w:pPr>
    </w:p>
    <w:p w:rsidR="00C3252D" w:rsidRDefault="00C5525A" w:rsidP="00C5525A">
      <w:pPr>
        <w:pBdr>
          <w:top w:val="single" w:sz="24" w:space="6" w:color="auto" w:shadow="1"/>
          <w:left w:val="single" w:sz="24" w:space="6" w:color="auto" w:shadow="1"/>
          <w:bottom w:val="single" w:sz="24" w:space="6" w:color="auto" w:shadow="1"/>
          <w:right w:val="single" w:sz="24" w:space="6" w:color="auto" w:shadow="1"/>
        </w:pBdr>
        <w:shd w:val="pct12" w:color="auto" w:fill="auto"/>
        <w:spacing w:after="0" w:line="240" w:lineRule="auto"/>
        <w:ind w:left="567" w:right="227" w:hanging="567"/>
        <w:jc w:val="center"/>
        <w:rPr>
          <w:rFonts w:ascii="Calibri" w:hAnsi="Calibri" w:cs="Arial"/>
          <w:b/>
          <w:color w:val="000000"/>
        </w:rPr>
      </w:pPr>
      <w:r>
        <w:rPr>
          <w:rFonts w:ascii="Calibri" w:hAnsi="Calibri" w:cs="Arial"/>
          <w:b/>
          <w:color w:val="000000"/>
        </w:rPr>
        <w:t>Réponse à la question n</w:t>
      </w:r>
      <w:r w:rsidRPr="00AF47D4">
        <w:rPr>
          <w:rFonts w:ascii="Calibri" w:hAnsi="Calibri" w:cs="Arial"/>
          <w:b/>
          <w:color w:val="000000"/>
          <w:vertAlign w:val="superscript"/>
        </w:rPr>
        <w:t>o</w:t>
      </w:r>
      <w:r w:rsidR="007B638C">
        <w:rPr>
          <w:rFonts w:ascii="Calibri" w:hAnsi="Calibri" w:cs="Arial"/>
          <w:b/>
          <w:color w:val="000000"/>
        </w:rPr>
        <w:t xml:space="preserve"> </w:t>
      </w:r>
      <w:r w:rsidR="00BE6145">
        <w:rPr>
          <w:rFonts w:ascii="Calibri" w:hAnsi="Calibri" w:cs="Arial"/>
          <w:b/>
          <w:color w:val="000000"/>
        </w:rPr>
        <w:t>1</w:t>
      </w:r>
      <w:r w:rsidR="007348E2">
        <w:rPr>
          <w:rFonts w:ascii="Calibri" w:hAnsi="Calibri" w:cs="Arial"/>
          <w:b/>
          <w:color w:val="000000"/>
        </w:rPr>
        <w:t>19</w:t>
      </w:r>
    </w:p>
    <w:p w:rsidR="00135AC5" w:rsidRPr="007348E2" w:rsidRDefault="00135AC5" w:rsidP="00BE6145">
      <w:pPr>
        <w:pBdr>
          <w:top w:val="single" w:sz="24" w:space="6" w:color="auto" w:shadow="1"/>
          <w:left w:val="single" w:sz="24" w:space="6" w:color="auto" w:shadow="1"/>
          <w:bottom w:val="single" w:sz="24" w:space="6" w:color="auto" w:shadow="1"/>
          <w:right w:val="single" w:sz="24" w:space="6" w:color="auto" w:shadow="1"/>
        </w:pBdr>
        <w:shd w:val="pct12" w:color="auto" w:fill="auto"/>
        <w:spacing w:after="0" w:line="240" w:lineRule="auto"/>
        <w:ind w:left="567" w:right="227" w:hanging="567"/>
        <w:jc w:val="center"/>
        <w:rPr>
          <w:b/>
          <w:color w:val="000000"/>
        </w:rPr>
      </w:pPr>
      <w:proofErr w:type="gramStart"/>
      <w:r w:rsidRPr="007348E2">
        <w:rPr>
          <w:b/>
          <w:color w:val="000000"/>
        </w:rPr>
        <w:t>de</w:t>
      </w:r>
      <w:proofErr w:type="gramEnd"/>
      <w:r w:rsidRPr="007348E2">
        <w:rPr>
          <w:b/>
          <w:color w:val="000000"/>
        </w:rPr>
        <w:t xml:space="preserve"> M. </w:t>
      </w:r>
      <w:r w:rsidR="007348E2" w:rsidRPr="007348E2">
        <w:rPr>
          <w:b/>
          <w:color w:val="000000"/>
        </w:rPr>
        <w:t>Jean-Thomas Vacher (Le Centre/PVL)</w:t>
      </w:r>
      <w:r w:rsidRPr="007348E2">
        <w:rPr>
          <w:b/>
          <w:color w:val="000000"/>
        </w:rPr>
        <w:t xml:space="preserve"> </w:t>
      </w:r>
    </w:p>
    <w:p w:rsidR="00C5525A" w:rsidRPr="00135AC5" w:rsidRDefault="00135AC5" w:rsidP="00BE6145">
      <w:pPr>
        <w:pBdr>
          <w:top w:val="single" w:sz="24" w:space="6" w:color="auto" w:shadow="1"/>
          <w:left w:val="single" w:sz="24" w:space="6" w:color="auto" w:shadow="1"/>
          <w:bottom w:val="single" w:sz="24" w:space="6" w:color="auto" w:shadow="1"/>
          <w:right w:val="single" w:sz="24" w:space="6" w:color="auto" w:shadow="1"/>
        </w:pBdr>
        <w:shd w:val="pct12" w:color="auto" w:fill="auto"/>
        <w:spacing w:after="0" w:line="240" w:lineRule="auto"/>
        <w:ind w:left="567" w:right="227" w:hanging="567"/>
        <w:jc w:val="center"/>
        <w:rPr>
          <w:rFonts w:ascii="Calibri" w:hAnsi="Calibri"/>
          <w:b/>
        </w:rPr>
      </w:pPr>
      <w:proofErr w:type="gramStart"/>
      <w:r w:rsidRPr="00135AC5">
        <w:rPr>
          <w:b/>
          <w:color w:val="000000"/>
        </w:rPr>
        <w:t>relative</w:t>
      </w:r>
      <w:proofErr w:type="gramEnd"/>
      <w:r w:rsidRPr="00135AC5">
        <w:rPr>
          <w:b/>
          <w:color w:val="000000"/>
        </w:rPr>
        <w:t xml:space="preserve"> </w:t>
      </w:r>
      <w:r w:rsidR="007348E2">
        <w:rPr>
          <w:b/>
          <w:color w:val="000000"/>
        </w:rPr>
        <w:t>à l'adaptation des tarifs de crèche en fonction de l'avis de taxation</w:t>
      </w:r>
    </w:p>
    <w:p w:rsidR="00C5525A" w:rsidRDefault="00C5525A" w:rsidP="00C5525A">
      <w:pPr>
        <w:tabs>
          <w:tab w:val="left" w:pos="5400"/>
        </w:tabs>
        <w:spacing w:after="0" w:line="240" w:lineRule="auto"/>
        <w:ind w:left="567" w:hanging="567"/>
        <w:rPr>
          <w:rFonts w:ascii="Calibri" w:hAnsi="Calibri"/>
        </w:rPr>
      </w:pPr>
    </w:p>
    <w:p w:rsidR="00C5525A" w:rsidRPr="00074255" w:rsidRDefault="00C5525A" w:rsidP="00C5525A">
      <w:pPr>
        <w:tabs>
          <w:tab w:val="left" w:pos="851"/>
          <w:tab w:val="left" w:pos="5670"/>
        </w:tabs>
        <w:spacing w:after="0" w:line="240" w:lineRule="auto"/>
        <w:rPr>
          <w:rFonts w:ascii="Calibri" w:hAnsi="Calibri" w:cs="Arial"/>
        </w:rPr>
      </w:pPr>
    </w:p>
    <w:p w:rsidR="00C5525A" w:rsidRPr="006B7842" w:rsidRDefault="00C5525A" w:rsidP="00C5525A">
      <w:pPr>
        <w:shd w:val="pct12" w:color="auto" w:fill="auto"/>
        <w:spacing w:after="0" w:line="240" w:lineRule="auto"/>
        <w:jc w:val="center"/>
        <w:rPr>
          <w:rFonts w:ascii="Calibri" w:hAnsi="Calibri" w:cs="Arial"/>
          <w:b/>
          <w:bCs/>
        </w:rPr>
      </w:pPr>
      <w:r>
        <w:rPr>
          <w:rFonts w:ascii="Calibri" w:hAnsi="Calibri" w:cs="Arial"/>
          <w:b/>
          <w:bCs/>
        </w:rPr>
        <w:t>Résumé de la question</w:t>
      </w:r>
    </w:p>
    <w:p w:rsidR="00C5525A" w:rsidRPr="00AF47D4" w:rsidRDefault="00C5525A" w:rsidP="00575DC8">
      <w:pPr>
        <w:tabs>
          <w:tab w:val="left" w:pos="851"/>
          <w:tab w:val="left" w:pos="5670"/>
        </w:tabs>
        <w:spacing w:after="0" w:line="240" w:lineRule="auto"/>
        <w:rPr>
          <w:rFonts w:cstheme="minorHAnsi"/>
        </w:rPr>
      </w:pPr>
    </w:p>
    <w:p w:rsidR="00C5525A" w:rsidRPr="00AB3E92" w:rsidRDefault="00C5525A" w:rsidP="00AB3E92">
      <w:pPr>
        <w:pStyle w:val="Textepv"/>
      </w:pPr>
    </w:p>
    <w:p w:rsidR="00AB3E92" w:rsidRPr="00AB3E92" w:rsidRDefault="00AF1614" w:rsidP="00AB3E92">
      <w:pPr>
        <w:pStyle w:val="Textepv"/>
        <w:rPr>
          <w:rFonts w:ascii="Calibri" w:hAnsi="Calibri"/>
        </w:rPr>
      </w:pPr>
      <w:r w:rsidRPr="00AB3E92">
        <w:rPr>
          <w:rFonts w:ascii="Calibri" w:hAnsi="Calibri"/>
        </w:rPr>
        <w:t xml:space="preserve">En séance du Conseil général du </w:t>
      </w:r>
      <w:r w:rsidR="00AB3E92" w:rsidRPr="00AB3E92">
        <w:rPr>
          <w:rFonts w:ascii="Calibri" w:hAnsi="Calibri"/>
        </w:rPr>
        <w:t>20 décembre</w:t>
      </w:r>
      <w:r w:rsidRPr="00AB3E92">
        <w:rPr>
          <w:rFonts w:ascii="Calibri" w:hAnsi="Calibri"/>
        </w:rPr>
        <w:t xml:space="preserve"> 2022, M</w:t>
      </w:r>
      <w:r w:rsidR="00AB3E92" w:rsidRPr="00AB3E92">
        <w:rPr>
          <w:rFonts w:ascii="Calibri" w:hAnsi="Calibri"/>
        </w:rPr>
        <w:t>. J.-T. Vacher</w:t>
      </w:r>
      <w:r w:rsidRPr="00AB3E92">
        <w:rPr>
          <w:rFonts w:ascii="Calibri" w:hAnsi="Calibri"/>
        </w:rPr>
        <w:t xml:space="preserve"> </w:t>
      </w:r>
      <w:r w:rsidR="00AB3E92" w:rsidRPr="00AB3E92">
        <w:rPr>
          <w:rFonts w:ascii="Calibri" w:hAnsi="Calibri"/>
        </w:rPr>
        <w:t xml:space="preserve">posait la question suivante: </w:t>
      </w:r>
    </w:p>
    <w:p w:rsidR="00AB3E92" w:rsidRPr="00AB3E92" w:rsidRDefault="00AB3E92" w:rsidP="00AB3E92">
      <w:pPr>
        <w:pStyle w:val="Textepv"/>
        <w:rPr>
          <w:rFonts w:ascii="Calibri" w:hAnsi="Calibri"/>
        </w:rPr>
      </w:pPr>
    </w:p>
    <w:p w:rsidR="00AB3E92" w:rsidRPr="00AB3E92" w:rsidRDefault="009030BE" w:rsidP="00AB3E92">
      <w:pPr>
        <w:pStyle w:val="Textepv"/>
        <w:rPr>
          <w:rFonts w:ascii="Calibri" w:hAnsi="Calibri"/>
          <w:noProof/>
          <w:lang w:val="fr-FR"/>
        </w:rPr>
      </w:pPr>
      <w:r>
        <w:rPr>
          <w:rFonts w:ascii="Calibri" w:hAnsi="Calibri"/>
          <w:noProof/>
          <w:lang w:val="fr-FR"/>
        </w:rPr>
        <w:t>"</w:t>
      </w:r>
      <w:r w:rsidR="00AB3E92" w:rsidRPr="00AB3E92">
        <w:rPr>
          <w:rFonts w:ascii="Calibri" w:hAnsi="Calibri"/>
          <w:noProof/>
          <w:lang w:val="fr-FR"/>
        </w:rPr>
        <w:t>Durant l'été 2022, la Commune a demandé aux habitants de lui</w:t>
      </w:r>
      <w:r w:rsidR="00AB3E92">
        <w:rPr>
          <w:rFonts w:ascii="Calibri" w:hAnsi="Calibri"/>
          <w:noProof/>
          <w:lang w:val="fr-FR"/>
        </w:rPr>
        <w:t xml:space="preserve"> </w:t>
      </w:r>
      <w:r w:rsidR="00AB3E92" w:rsidRPr="00AB3E92">
        <w:rPr>
          <w:rFonts w:ascii="Calibri" w:hAnsi="Calibri"/>
          <w:noProof/>
          <w:lang w:val="fr-FR"/>
        </w:rPr>
        <w:t>transmettre les avis de taxation, s'ils les avaient reçus, ou les fiches de salaire afin de recalculer les tarifs</w:t>
      </w:r>
      <w:r w:rsidR="00AB3E92">
        <w:rPr>
          <w:rFonts w:ascii="Calibri" w:hAnsi="Calibri"/>
          <w:noProof/>
          <w:lang w:val="fr-FR"/>
        </w:rPr>
        <w:t xml:space="preserve"> </w:t>
      </w:r>
      <w:r w:rsidR="00AB3E92" w:rsidRPr="00AB3E92">
        <w:rPr>
          <w:rFonts w:ascii="Calibri" w:hAnsi="Calibri"/>
          <w:noProof/>
          <w:lang w:val="fr-FR"/>
        </w:rPr>
        <w:t>pour les enfants en crèche à partir du 1</w:t>
      </w:r>
      <w:r w:rsidR="00AB3E92" w:rsidRPr="00AB3E92">
        <w:rPr>
          <w:rFonts w:ascii="Calibri" w:hAnsi="Calibri"/>
          <w:noProof/>
          <w:vertAlign w:val="superscript"/>
          <w:lang w:val="fr-FR"/>
        </w:rPr>
        <w:t>er</w:t>
      </w:r>
      <w:r w:rsidR="00AB3E92" w:rsidRPr="00AB3E92">
        <w:rPr>
          <w:rFonts w:ascii="Calibri" w:hAnsi="Calibri"/>
          <w:noProof/>
          <w:lang w:val="fr-FR"/>
        </w:rPr>
        <w:t xml:space="preserve"> août 2022. A la suite de cet envoi, certains ménages ont vu leur</w:t>
      </w:r>
      <w:r w:rsidR="00AB3E92">
        <w:rPr>
          <w:rFonts w:ascii="Calibri" w:hAnsi="Calibri"/>
          <w:noProof/>
          <w:lang w:val="fr-FR"/>
        </w:rPr>
        <w:t xml:space="preserve"> </w:t>
      </w:r>
      <w:r w:rsidR="00AB3E92" w:rsidRPr="00AB3E92">
        <w:rPr>
          <w:rFonts w:ascii="Calibri" w:hAnsi="Calibri"/>
          <w:noProof/>
          <w:lang w:val="fr-FR"/>
        </w:rPr>
        <w:t>facture parfois fortement augmenter. Après avoir envoyé les fiches de salaire, j'ai transmis l'avis de taxation</w:t>
      </w:r>
      <w:r w:rsidR="00AB3E92">
        <w:rPr>
          <w:rFonts w:ascii="Calibri" w:hAnsi="Calibri"/>
          <w:noProof/>
          <w:lang w:val="fr-FR"/>
        </w:rPr>
        <w:t xml:space="preserve"> </w:t>
      </w:r>
      <w:r w:rsidR="00AB3E92" w:rsidRPr="00AB3E92">
        <w:rPr>
          <w:rFonts w:ascii="Calibri" w:hAnsi="Calibri"/>
          <w:noProof/>
          <w:lang w:val="fr-FR"/>
        </w:rPr>
        <w:t>au Service concerné à la mi-octobre, afin de faire réadapter le montant. Dans un premier temps, j'ai reçu un</w:t>
      </w:r>
      <w:r w:rsidR="00AB3E92">
        <w:rPr>
          <w:rFonts w:ascii="Calibri" w:hAnsi="Calibri"/>
          <w:noProof/>
          <w:lang w:val="fr-FR"/>
        </w:rPr>
        <w:t xml:space="preserve"> </w:t>
      </w:r>
      <w:r w:rsidR="00AB3E92" w:rsidRPr="00AB3E92">
        <w:rPr>
          <w:rFonts w:ascii="Calibri" w:hAnsi="Calibri"/>
          <w:noProof/>
          <w:lang w:val="fr-FR"/>
        </w:rPr>
        <w:t>e-mail me disant que le montant serait adapté seulement en août de l'année suivante. Il a fallu un e-mail un</w:t>
      </w:r>
      <w:r w:rsidR="00AB3E92">
        <w:rPr>
          <w:rFonts w:ascii="Calibri" w:hAnsi="Calibri"/>
          <w:noProof/>
          <w:lang w:val="fr-FR"/>
        </w:rPr>
        <w:t xml:space="preserve"> </w:t>
      </w:r>
      <w:r w:rsidR="00AB3E92" w:rsidRPr="00AB3E92">
        <w:rPr>
          <w:rFonts w:ascii="Calibri" w:hAnsi="Calibri"/>
          <w:noProof/>
          <w:lang w:val="fr-FR"/>
        </w:rPr>
        <w:t>peu plus juridique dénonçant le fait que cette manière de faire, soit de baser le tarif sur les fiches de</w:t>
      </w:r>
      <w:r w:rsidR="00AB3E92">
        <w:rPr>
          <w:rFonts w:ascii="Calibri" w:hAnsi="Calibri"/>
          <w:noProof/>
          <w:lang w:val="fr-FR"/>
        </w:rPr>
        <w:t xml:space="preserve"> </w:t>
      </w:r>
      <w:r w:rsidR="00AB3E92" w:rsidRPr="00AB3E92">
        <w:rPr>
          <w:rFonts w:ascii="Calibri" w:hAnsi="Calibri"/>
          <w:noProof/>
          <w:lang w:val="fr-FR"/>
        </w:rPr>
        <w:t>salaire, ne reposait sur aucune base légale et était contraire au règlement de la Ville pour avoir finalement</w:t>
      </w:r>
      <w:r w:rsidR="00AB3E92">
        <w:rPr>
          <w:rFonts w:ascii="Calibri" w:hAnsi="Calibri"/>
          <w:noProof/>
          <w:lang w:val="fr-FR"/>
        </w:rPr>
        <w:t xml:space="preserve"> </w:t>
      </w:r>
      <w:r w:rsidR="00AB3E92" w:rsidRPr="00AB3E92">
        <w:rPr>
          <w:rFonts w:ascii="Calibri" w:hAnsi="Calibri"/>
          <w:noProof/>
          <w:lang w:val="fr-FR"/>
        </w:rPr>
        <w:t>une réévaluation de la décision et que le dossier soit transmis à la Direction, pour nouvelle décision.</w:t>
      </w:r>
    </w:p>
    <w:p w:rsidR="00AB3E92" w:rsidRPr="00AB3E92" w:rsidRDefault="00AB3E92" w:rsidP="00AB3E92">
      <w:pPr>
        <w:pStyle w:val="Textepv"/>
        <w:rPr>
          <w:rFonts w:ascii="Calibri" w:hAnsi="Calibri"/>
          <w:noProof/>
          <w:lang w:val="fr-FR"/>
        </w:rPr>
      </w:pPr>
    </w:p>
    <w:p w:rsidR="00AB3E92" w:rsidRPr="00AB3E92" w:rsidRDefault="00AB3E92" w:rsidP="00AB3E92">
      <w:pPr>
        <w:pStyle w:val="Textepv"/>
        <w:rPr>
          <w:rFonts w:ascii="Calibri" w:hAnsi="Calibri"/>
          <w:noProof/>
          <w:lang w:val="fr-FR"/>
        </w:rPr>
      </w:pPr>
      <w:r w:rsidRPr="00AB3E92">
        <w:rPr>
          <w:rFonts w:ascii="Calibri" w:hAnsi="Calibri"/>
          <w:noProof/>
          <w:lang w:val="fr-FR"/>
        </w:rPr>
        <w:t>Tous les citoyens de cette ville ne disposent pas de compétences juridiques et je trouve regrettable qu'il</w:t>
      </w:r>
      <w:r>
        <w:rPr>
          <w:rFonts w:ascii="Calibri" w:hAnsi="Calibri"/>
          <w:noProof/>
          <w:lang w:val="fr-FR"/>
        </w:rPr>
        <w:t xml:space="preserve"> </w:t>
      </w:r>
      <w:r w:rsidRPr="00AB3E92">
        <w:rPr>
          <w:rFonts w:ascii="Calibri" w:hAnsi="Calibri"/>
          <w:noProof/>
          <w:lang w:val="fr-FR"/>
        </w:rPr>
        <w:t>faille en faire valoir pour voir ses droits être respectés dans notre ville. Dans notre cas, la différence était de</w:t>
      </w:r>
      <w:r>
        <w:rPr>
          <w:rFonts w:ascii="Calibri" w:hAnsi="Calibri"/>
          <w:noProof/>
          <w:lang w:val="fr-FR"/>
        </w:rPr>
        <w:t xml:space="preserve"> </w:t>
      </w:r>
      <w:r w:rsidRPr="00AB3E92">
        <w:rPr>
          <w:rFonts w:ascii="Calibri" w:hAnsi="Calibri"/>
          <w:noProof/>
          <w:lang w:val="fr-FR"/>
        </w:rPr>
        <w:t>plus de CHF 500.- pour un enfant sur une année. Elle peut engendrer de nombreuses conséquences</w:t>
      </w:r>
      <w:r>
        <w:rPr>
          <w:rFonts w:ascii="Calibri" w:hAnsi="Calibri"/>
          <w:noProof/>
          <w:lang w:val="fr-FR"/>
        </w:rPr>
        <w:t xml:space="preserve"> </w:t>
      </w:r>
      <w:r w:rsidRPr="00AB3E92">
        <w:rPr>
          <w:rFonts w:ascii="Calibri" w:hAnsi="Calibri"/>
          <w:noProof/>
          <w:lang w:val="fr-FR"/>
        </w:rPr>
        <w:t>financières pour une famille, laquelle doit jongler entre une vie professionnelle exigeante et qui ne peut se</w:t>
      </w:r>
      <w:r>
        <w:rPr>
          <w:rFonts w:ascii="Calibri" w:hAnsi="Calibri"/>
          <w:noProof/>
          <w:lang w:val="fr-FR"/>
        </w:rPr>
        <w:t xml:space="preserve"> </w:t>
      </w:r>
      <w:r w:rsidRPr="00AB3E92">
        <w:rPr>
          <w:rFonts w:ascii="Calibri" w:hAnsi="Calibri"/>
          <w:noProof/>
          <w:lang w:val="fr-FR"/>
        </w:rPr>
        <w:t>passer de l'accueil extrafamilial, dont le but de la LStE est, je le rappelle, de "permettre la conciliation de la</w:t>
      </w:r>
      <w:r>
        <w:rPr>
          <w:rFonts w:ascii="Calibri" w:hAnsi="Calibri"/>
          <w:noProof/>
          <w:lang w:val="fr-FR"/>
        </w:rPr>
        <w:t xml:space="preserve"> </w:t>
      </w:r>
      <w:r w:rsidRPr="00AB3E92">
        <w:rPr>
          <w:rFonts w:ascii="Calibri" w:hAnsi="Calibri"/>
          <w:noProof/>
          <w:lang w:val="fr-FR"/>
        </w:rPr>
        <w:t>vie familiale et de la vie professionnelle" (art. 1 al. 1 LStE). M</w:t>
      </w:r>
      <w:r>
        <w:rPr>
          <w:rFonts w:ascii="Calibri" w:hAnsi="Calibri"/>
          <w:noProof/>
          <w:lang w:val="fr-FR"/>
        </w:rPr>
        <w:t>es questions sont les suivantes:</w:t>
      </w:r>
    </w:p>
    <w:p w:rsidR="00AB3E92" w:rsidRPr="00AB3E92" w:rsidRDefault="00AB3E92" w:rsidP="00AB3E92">
      <w:pPr>
        <w:pStyle w:val="Textepv"/>
        <w:rPr>
          <w:rFonts w:ascii="Calibri" w:hAnsi="Calibri"/>
          <w:noProof/>
          <w:lang w:val="fr-FR"/>
        </w:rPr>
      </w:pPr>
    </w:p>
    <w:p w:rsidR="00AB3E92" w:rsidRPr="00AB3E92" w:rsidRDefault="00AB3E92" w:rsidP="00AB3E92">
      <w:pPr>
        <w:pStyle w:val="Textepv"/>
        <w:numPr>
          <w:ilvl w:val="0"/>
          <w:numId w:val="24"/>
        </w:numPr>
        <w:tabs>
          <w:tab w:val="left" w:pos="567"/>
        </w:tabs>
        <w:ind w:left="567" w:hanging="567"/>
        <w:rPr>
          <w:rFonts w:ascii="Calibri" w:hAnsi="Calibri"/>
          <w:noProof/>
          <w:lang w:val="fr-FR"/>
        </w:rPr>
      </w:pPr>
      <w:r w:rsidRPr="00AB3E92">
        <w:rPr>
          <w:rFonts w:ascii="Calibri" w:hAnsi="Calibri"/>
          <w:noProof/>
          <w:lang w:val="fr-FR"/>
        </w:rPr>
        <w:t>pour combien de familles le tarif de la crèche est-il calculé sur la base des fiches de salaire, qui ne tient pas compte des déductions, au lieu d'être basé sur l'avis de taxation comme il devrait l'être?</w:t>
      </w:r>
    </w:p>
    <w:p w:rsidR="00AB3E92" w:rsidRPr="00AB3E92" w:rsidRDefault="00AB3E92" w:rsidP="00AB3E92">
      <w:pPr>
        <w:pStyle w:val="Textepv"/>
        <w:tabs>
          <w:tab w:val="left" w:pos="567"/>
        </w:tabs>
        <w:ind w:left="567" w:hanging="567"/>
        <w:rPr>
          <w:rFonts w:ascii="Calibri" w:hAnsi="Calibri"/>
          <w:noProof/>
          <w:lang w:val="fr-FR"/>
        </w:rPr>
      </w:pPr>
    </w:p>
    <w:p w:rsidR="00AF1614" w:rsidRPr="00AB3E92" w:rsidRDefault="00AB3E92" w:rsidP="00AB3E92">
      <w:pPr>
        <w:pStyle w:val="Textepv"/>
        <w:numPr>
          <w:ilvl w:val="0"/>
          <w:numId w:val="24"/>
        </w:numPr>
        <w:tabs>
          <w:tab w:val="left" w:pos="567"/>
        </w:tabs>
        <w:ind w:left="567" w:hanging="567"/>
        <w:rPr>
          <w:i/>
        </w:rPr>
      </w:pPr>
      <w:r w:rsidRPr="00AB3E92">
        <w:rPr>
          <w:rFonts w:ascii="Calibri" w:hAnsi="Calibri"/>
          <w:noProof/>
          <w:lang w:val="fr-FR"/>
        </w:rPr>
        <w:t>quelles mesures sont entreprises par le Service responsable pour reverser les montants perçus de manière indue?</w:t>
      </w:r>
      <w:r w:rsidR="009030BE">
        <w:rPr>
          <w:rFonts w:ascii="Calibri" w:hAnsi="Calibri"/>
          <w:noProof/>
          <w:lang w:val="fr-FR"/>
        </w:rPr>
        <w:t>"</w:t>
      </w:r>
    </w:p>
    <w:p w:rsidR="00FD6CDB" w:rsidRPr="00AB3E92" w:rsidRDefault="00FD6CDB" w:rsidP="00AB3E92">
      <w:pPr>
        <w:pStyle w:val="Textepv"/>
        <w:rPr>
          <w:rFonts w:asciiTheme="minorHAnsi" w:hAnsiTheme="minorHAnsi" w:cstheme="minorHAnsi"/>
        </w:rPr>
      </w:pPr>
    </w:p>
    <w:p w:rsidR="00575DC8" w:rsidRPr="00FD6CDB" w:rsidRDefault="00575DC8" w:rsidP="00575DC8">
      <w:pPr>
        <w:spacing w:after="0" w:line="240" w:lineRule="auto"/>
        <w:rPr>
          <w:rFonts w:cstheme="minorHAnsi"/>
        </w:rPr>
      </w:pPr>
    </w:p>
    <w:p w:rsidR="00C5525A" w:rsidRPr="00C5525A" w:rsidRDefault="00C5525A" w:rsidP="00C5525A">
      <w:pPr>
        <w:shd w:val="pct12" w:color="auto" w:fill="auto"/>
        <w:spacing w:after="0" w:line="240" w:lineRule="auto"/>
        <w:jc w:val="center"/>
        <w:rPr>
          <w:rFonts w:ascii="Calibri" w:hAnsi="Calibri" w:cs="Arial"/>
          <w:b/>
          <w:bCs/>
        </w:rPr>
      </w:pPr>
      <w:r w:rsidRPr="00C5525A">
        <w:rPr>
          <w:rFonts w:ascii="Calibri" w:hAnsi="Calibri" w:cs="Arial"/>
          <w:b/>
          <w:bCs/>
        </w:rPr>
        <w:t>Réponse du Conseil communal</w:t>
      </w:r>
    </w:p>
    <w:p w:rsidR="00C5525A" w:rsidRDefault="00C5525A" w:rsidP="00575DC8">
      <w:pPr>
        <w:spacing w:after="0" w:line="240" w:lineRule="auto"/>
        <w:rPr>
          <w:rFonts w:cstheme="minorHAnsi"/>
        </w:rPr>
      </w:pPr>
    </w:p>
    <w:p w:rsidR="00575DC8" w:rsidRPr="009030BE" w:rsidRDefault="00575DC8"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 xml:space="preserve">Le Conseil communal répond ci-après de manière générale aux questions de M. </w:t>
      </w:r>
      <w:r w:rsidR="009030BE">
        <w:rPr>
          <w:rFonts w:asciiTheme="minorHAnsi" w:hAnsiTheme="minorHAnsi" w:cstheme="minorHAnsi"/>
        </w:rPr>
        <w:t xml:space="preserve">J.-T. </w:t>
      </w:r>
      <w:r w:rsidRPr="009030BE">
        <w:rPr>
          <w:rFonts w:asciiTheme="minorHAnsi" w:hAnsiTheme="minorHAnsi" w:cstheme="minorHAnsi"/>
        </w:rPr>
        <w:t>Vacher. Conformément à la pratique, la situation personnelle mentionnée dans la question ne peut être traitée dans ce cadre.</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lastRenderedPageBreak/>
        <w:t xml:space="preserve">Depuis l'été 2021 et l’entrée en vigueur du </w:t>
      </w:r>
      <w:r w:rsidR="009030BE">
        <w:rPr>
          <w:rFonts w:asciiTheme="minorHAnsi" w:hAnsiTheme="minorHAnsi" w:cstheme="minorHAnsi"/>
        </w:rPr>
        <w:t>r</w:t>
      </w:r>
      <w:r w:rsidRPr="009030BE">
        <w:rPr>
          <w:rFonts w:asciiTheme="minorHAnsi" w:hAnsiTheme="minorHAnsi" w:cstheme="minorHAnsi"/>
        </w:rPr>
        <w:t xml:space="preserve">èglement tarifaire des crèches subventionnées de la Ville, les tarifs de crèche sont calculés par le Service de l’enfance, des écoles et de la cohésion sociale (EECS) et plus par chacune des crèches, dans un souci d’harmonisation et d’égalité de traitement. </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Selon</w:t>
      </w:r>
      <w:r w:rsidR="009030BE">
        <w:rPr>
          <w:rFonts w:asciiTheme="minorHAnsi" w:hAnsiTheme="minorHAnsi" w:cstheme="minorHAnsi"/>
        </w:rPr>
        <w:t xml:space="preserve"> l’article</w:t>
      </w:r>
      <w:r w:rsidRPr="009030BE">
        <w:rPr>
          <w:rFonts w:asciiTheme="minorHAnsi" w:hAnsiTheme="minorHAnsi" w:cstheme="minorHAnsi"/>
        </w:rPr>
        <w:t xml:space="preserve"> 12 al.2 de la Loi sur les structures d’accueil extrafamilial de jour (</w:t>
      </w:r>
      <w:proofErr w:type="spellStart"/>
      <w:r w:rsidRPr="009030BE">
        <w:rPr>
          <w:rFonts w:asciiTheme="minorHAnsi" w:hAnsiTheme="minorHAnsi" w:cstheme="minorHAnsi"/>
        </w:rPr>
        <w:t>LStE</w:t>
      </w:r>
      <w:proofErr w:type="spellEnd"/>
      <w:r w:rsidRPr="009030BE">
        <w:rPr>
          <w:rFonts w:asciiTheme="minorHAnsi" w:hAnsiTheme="minorHAnsi" w:cstheme="minorHAnsi"/>
        </w:rPr>
        <w:t>) du 9 juin 2011, pour concrétiser la notion de tarif financièrement accessible, la Direction</w:t>
      </w:r>
      <w:r w:rsidRPr="009030BE">
        <w:rPr>
          <w:rStyle w:val="Appelnotedebasdep"/>
          <w:rFonts w:asciiTheme="minorHAnsi" w:hAnsiTheme="minorHAnsi" w:cstheme="minorHAnsi"/>
        </w:rPr>
        <w:footnoteReference w:id="1"/>
      </w:r>
      <w:r w:rsidRPr="009030BE">
        <w:rPr>
          <w:rFonts w:asciiTheme="minorHAnsi" w:hAnsiTheme="minorHAnsi" w:cstheme="minorHAnsi"/>
          <w:vertAlign w:val="superscript"/>
        </w:rPr>
        <w:t xml:space="preserve"> </w:t>
      </w:r>
      <w:r w:rsidRPr="009030BE">
        <w:rPr>
          <w:rFonts w:asciiTheme="minorHAnsi" w:hAnsiTheme="minorHAnsi" w:cstheme="minorHAnsi"/>
        </w:rPr>
        <w:t>publie une grille de référence. Le Tribunal cantonal a confirmé, dans une jurisprudence de 2017</w:t>
      </w:r>
      <w:r w:rsidRPr="009030BE">
        <w:rPr>
          <w:rStyle w:val="Appelnotedebasdep"/>
          <w:rFonts w:asciiTheme="minorHAnsi" w:hAnsiTheme="minorHAnsi" w:cstheme="minorHAnsi"/>
        </w:rPr>
        <w:footnoteReference w:id="2"/>
      </w:r>
      <w:r w:rsidRPr="009030BE">
        <w:rPr>
          <w:rFonts w:asciiTheme="minorHAnsi" w:hAnsiTheme="minorHAnsi" w:cstheme="minorHAnsi"/>
        </w:rPr>
        <w:t xml:space="preserve">, que les communes devaient appliquer les grilles de références et leur méthode de calcul. Afin de se conformer à cette jurisprudence, le calcul du revenu déterminant des parents se base sur le document "Grilles de référence </w:t>
      </w:r>
      <w:proofErr w:type="spellStart"/>
      <w:r w:rsidRPr="009030BE">
        <w:rPr>
          <w:rFonts w:asciiTheme="minorHAnsi" w:hAnsiTheme="minorHAnsi" w:cstheme="minorHAnsi"/>
        </w:rPr>
        <w:t>LStE</w:t>
      </w:r>
      <w:proofErr w:type="spellEnd"/>
      <w:r w:rsidRPr="009030BE">
        <w:rPr>
          <w:rFonts w:asciiTheme="minorHAnsi" w:hAnsiTheme="minorHAnsi" w:cstheme="minorHAnsi"/>
        </w:rPr>
        <w:t xml:space="preserve"> du 2 juin 2014" de l'Etat de Fribourg et a été transposé dans le règlement communal. Ce document spécifie que le revenu déterminant se calcule sur la base de différents codes de l'avis de taxation. Il précise néanmoins que "si des changements significatifs de situation ayant une influence sur le revenu déterminant d'une/des </w:t>
      </w:r>
      <w:proofErr w:type="spellStart"/>
      <w:r w:rsidRPr="009030BE">
        <w:rPr>
          <w:rFonts w:asciiTheme="minorHAnsi" w:hAnsiTheme="minorHAnsi" w:cstheme="minorHAnsi"/>
        </w:rPr>
        <w:t>personne-s</w:t>
      </w:r>
      <w:proofErr w:type="spellEnd"/>
      <w:r w:rsidRPr="009030BE">
        <w:rPr>
          <w:rFonts w:asciiTheme="minorHAnsi" w:hAnsiTheme="minorHAnsi" w:cstheme="minorHAnsi"/>
        </w:rPr>
        <w:t xml:space="preserve"> interviennent durant l'année en cours, les structures peuvent adapter le tarif appliqué." Pour ce faire, chaque année, un formulaire est envoyé aux parents et doit être complété pour la mise à jour de leurs données et de leur situation, </w:t>
      </w:r>
      <w:r w:rsidR="009030BE">
        <w:rPr>
          <w:rFonts w:asciiTheme="minorHAnsi" w:hAnsiTheme="minorHAnsi" w:cstheme="minorHAnsi"/>
        </w:rPr>
        <w:t>conformément à l’article6 al.1 du r</w:t>
      </w:r>
      <w:r w:rsidRPr="009030BE">
        <w:rPr>
          <w:rFonts w:asciiTheme="minorHAnsi" w:hAnsiTheme="minorHAnsi" w:cstheme="minorHAnsi"/>
        </w:rPr>
        <w:t>èglement tarifaire des crèches subventionnées.</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 xml:space="preserve">Dans la majorité des cas, il est possible de se baser sur l'avis de taxation des parents. Dans le souci de garantir une égalité de traitement, la pratique du service de l’enfance, des écoles et de la cohésion sociale était de prendre en compte aussi bien pour le calcul des tarifs de l'AES que pour les tarifs de crèche, l’avis de taxation notifié l’année </w:t>
      </w:r>
      <w:proofErr w:type="spellStart"/>
      <w:r w:rsidRPr="009030BE">
        <w:rPr>
          <w:rFonts w:asciiTheme="minorHAnsi" w:hAnsiTheme="minorHAnsi" w:cstheme="minorHAnsi"/>
        </w:rPr>
        <w:t>précédent</w:t>
      </w:r>
      <w:proofErr w:type="spellEnd"/>
      <w:r w:rsidRPr="009030BE">
        <w:rPr>
          <w:rFonts w:asciiTheme="minorHAnsi" w:hAnsiTheme="minorHAnsi" w:cstheme="minorHAnsi"/>
        </w:rPr>
        <w:t xml:space="preserve"> l’année scolaire du placement conformément à l’art</w:t>
      </w:r>
      <w:r w:rsidR="009030BE">
        <w:rPr>
          <w:rFonts w:asciiTheme="minorHAnsi" w:hAnsiTheme="minorHAnsi" w:cstheme="minorHAnsi"/>
        </w:rPr>
        <w:t>icle</w:t>
      </w:r>
      <w:r w:rsidRPr="009030BE">
        <w:rPr>
          <w:rFonts w:asciiTheme="minorHAnsi" w:hAnsiTheme="minorHAnsi" w:cstheme="minorHAnsi"/>
        </w:rPr>
        <w:t xml:space="preserve"> 27 du règlement d’application du règlement communal concernant l’accueil extrascolaire. Cette pratique est la même que celle de l'ECAS (pour le calcul du droit aux subventions à l'assurance maladie) dont la méthode de calcul a été reprise pour rédiger les grilles de référence </w:t>
      </w:r>
      <w:proofErr w:type="spellStart"/>
      <w:r w:rsidRPr="009030BE">
        <w:rPr>
          <w:rFonts w:asciiTheme="minorHAnsi" w:hAnsiTheme="minorHAnsi" w:cstheme="minorHAnsi"/>
        </w:rPr>
        <w:t>LStE</w:t>
      </w:r>
      <w:proofErr w:type="spellEnd"/>
      <w:r w:rsidRPr="009030BE">
        <w:rPr>
          <w:rFonts w:asciiTheme="minorHAnsi" w:hAnsiTheme="minorHAnsi" w:cstheme="minorHAnsi"/>
        </w:rPr>
        <w:t xml:space="preserve">. </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 xml:space="preserve">Toutefois, il arrive que des parents ne disposent pas d'un avis de taxation (provenance de l'étranger, d'un autre canton, imposition à la source) ou que leur situation familiale et/ou financière ait changé depuis l'émission de cet avis de taxation. Dans ce dernier cas, selon les informations du formulaire annuel mentionné plus haut et en application des grilles de référence </w:t>
      </w:r>
      <w:proofErr w:type="spellStart"/>
      <w:r w:rsidRPr="009030BE">
        <w:rPr>
          <w:rFonts w:asciiTheme="minorHAnsi" w:hAnsiTheme="minorHAnsi" w:cstheme="minorHAnsi"/>
        </w:rPr>
        <w:t>LStE</w:t>
      </w:r>
      <w:proofErr w:type="spellEnd"/>
      <w:r w:rsidRPr="009030BE">
        <w:rPr>
          <w:rFonts w:asciiTheme="minorHAnsi" w:hAnsiTheme="minorHAnsi" w:cstheme="minorHAnsi"/>
        </w:rPr>
        <w:t xml:space="preserve">, le Service calcule si un changement significatif est constaté entre le revenu déterminant issu de l'avis de taxation et celui calculé sur la base des fiches de salaires fournies. Ce changement significatif a été fixé à +/- 30%, après consultation de l'ECAS. Cette procédure a cependant été mise en place après l’entrée en vigueur du règlement communal, pour couvrir ces situations particulières. </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 xml:space="preserve">En automne dernier il a été constaté que le règlement en </w:t>
      </w:r>
      <w:r w:rsidR="009030BE" w:rsidRPr="009030BE">
        <w:rPr>
          <w:rFonts w:asciiTheme="minorHAnsi" w:hAnsiTheme="minorHAnsi" w:cstheme="minorHAnsi"/>
        </w:rPr>
        <w:t>vigueur</w:t>
      </w:r>
      <w:r w:rsidRPr="009030BE">
        <w:rPr>
          <w:rFonts w:asciiTheme="minorHAnsi" w:hAnsiTheme="minorHAnsi" w:cstheme="minorHAnsi"/>
        </w:rPr>
        <w:t xml:space="preserve"> pour le tarif des crèches n’est pas assez précis et que la pratique du Service de l’enfance, des écoles et de la cohésion sociale n’y correspond pas entièrement. Dans l’objectif d’harmoniser les deux règlements et de préciser les procédures garantissant la meilleure égalité de traitement possible, les travaux d’une mise à jour des règlements communaux sont en cours sur la base d’une analyse juridique. Dans l’intervalle, le Service a ajusté sa pratique afin de se conformer strictement aux règlements en vigueur.</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 xml:space="preserve">Pour répondre à la question pour combien de familles le tarif de la crèche est calculé sur la base des fiches de salaire, on peut constater que sur les 655 dossiers traités pour 2022/2023, 131 (20%) ont abouti à un calcul du revenu déterminant </w:t>
      </w:r>
      <w:r w:rsidR="009030BE">
        <w:rPr>
          <w:rFonts w:asciiTheme="minorHAnsi" w:hAnsiTheme="minorHAnsi" w:cstheme="minorHAnsi"/>
        </w:rPr>
        <w:t>basé sur les fiches de salaires</w:t>
      </w:r>
      <w:r w:rsidRPr="009030BE">
        <w:rPr>
          <w:rFonts w:asciiTheme="minorHAnsi" w:hAnsiTheme="minorHAnsi" w:cstheme="minorHAnsi"/>
        </w:rPr>
        <w:t xml:space="preserve">; 59 en raison de l'indisponibilité de l'avis de taxation et 72 en raison d'un changement notable. A noter que pour 38 cas le revenu actuel est plus élevé et pour 34 plus bas. </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lastRenderedPageBreak/>
        <w:t>Le fait qu’il puisse y avoir parfois un décalage temporel lié à la disponibilité de l’avis de taxation n’engendre a priori pas de perception indue systématique puisque le tarif est remis à jour chaque année.</w:t>
      </w:r>
    </w:p>
    <w:p w:rsidR="00AB3E92" w:rsidRPr="009030BE" w:rsidRDefault="00AB3E92" w:rsidP="009030BE">
      <w:pPr>
        <w:pStyle w:val="Textepv"/>
        <w:rPr>
          <w:rFonts w:asciiTheme="minorHAnsi" w:hAnsiTheme="minorHAnsi" w:cstheme="minorHAnsi"/>
        </w:rPr>
      </w:pPr>
    </w:p>
    <w:p w:rsidR="00AB3E92" w:rsidRPr="009030BE" w:rsidRDefault="00AB3E92" w:rsidP="009030BE">
      <w:pPr>
        <w:pStyle w:val="Textepv"/>
        <w:rPr>
          <w:rFonts w:asciiTheme="minorHAnsi" w:hAnsiTheme="minorHAnsi" w:cstheme="minorHAnsi"/>
        </w:rPr>
      </w:pPr>
      <w:r w:rsidRPr="009030BE">
        <w:rPr>
          <w:rFonts w:asciiTheme="minorHAnsi" w:hAnsiTheme="minorHAnsi" w:cstheme="minorHAnsi"/>
        </w:rPr>
        <w:t xml:space="preserve">Contrairement à ce qui est indiqué dans la question, pour tenir compte d’éventuelles déductions et en analogie à l'article 9 alinéa 3 du règlement des crèches, le logiciel </w:t>
      </w:r>
      <w:proofErr w:type="spellStart"/>
      <w:r w:rsidRPr="009030BE">
        <w:rPr>
          <w:rFonts w:asciiTheme="minorHAnsi" w:hAnsiTheme="minorHAnsi" w:cstheme="minorHAnsi"/>
        </w:rPr>
        <w:t>Kibe</w:t>
      </w:r>
      <w:proofErr w:type="spellEnd"/>
      <w:r w:rsidRPr="009030BE">
        <w:rPr>
          <w:rFonts w:asciiTheme="minorHAnsi" w:hAnsiTheme="minorHAnsi" w:cstheme="minorHAnsi"/>
        </w:rPr>
        <w:t xml:space="preserve"> prend, lors du calcul sur base des fiches de salaire, en considération le 80% du revenu brut.</w:t>
      </w:r>
    </w:p>
    <w:p w:rsidR="00AB3E92" w:rsidRPr="009030BE" w:rsidRDefault="00AB3E92" w:rsidP="009030BE">
      <w:pPr>
        <w:pStyle w:val="Textepv"/>
        <w:rPr>
          <w:rFonts w:asciiTheme="minorHAnsi" w:hAnsiTheme="minorHAnsi" w:cstheme="minorHAnsi"/>
        </w:rPr>
      </w:pPr>
    </w:p>
    <w:p w:rsidR="00AF1614" w:rsidRPr="009030BE" w:rsidRDefault="00AF1614" w:rsidP="009030BE">
      <w:pPr>
        <w:pStyle w:val="Textepv"/>
        <w:rPr>
          <w:rFonts w:asciiTheme="minorHAnsi" w:hAnsiTheme="minorHAnsi" w:cstheme="minorHAnsi"/>
        </w:rPr>
      </w:pPr>
    </w:p>
    <w:sectPr w:rsidR="00AF1614" w:rsidRPr="009030BE" w:rsidSect="007A2C0C">
      <w:footerReference w:type="default" r:id="rId9"/>
      <w:pgSz w:w="11906" w:h="16838"/>
      <w:pgMar w:top="1418" w:right="1418" w:bottom="1418"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52D" w:rsidRDefault="0092452D" w:rsidP="0092452D">
      <w:pPr>
        <w:spacing w:after="0" w:line="240" w:lineRule="auto"/>
      </w:pPr>
      <w:r>
        <w:separator/>
      </w:r>
    </w:p>
  </w:endnote>
  <w:endnote w:type="continuationSeparator" w:id="0">
    <w:p w:rsidR="0092452D" w:rsidRDefault="0092452D" w:rsidP="0092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48" w:rsidRPr="0043634E" w:rsidRDefault="0092452D" w:rsidP="00E22548">
    <w:pPr>
      <w:pStyle w:val="Pieddepage"/>
      <w:jc w:val="right"/>
      <w:rPr>
        <w:rFonts w:ascii="Calibri" w:hAnsi="Calibri" w:cs="Calibri"/>
        <w:sz w:val="20"/>
      </w:rPr>
    </w:pPr>
    <w:r>
      <w:tab/>
    </w:r>
    <w:r>
      <w:tab/>
    </w:r>
    <w:r w:rsidR="00E22548" w:rsidRPr="0043634E">
      <w:rPr>
        <w:rFonts w:ascii="Calibri" w:hAnsi="Calibri" w:cs="Calibri"/>
        <w:sz w:val="20"/>
        <w:lang w:val="fr-FR"/>
      </w:rPr>
      <w:t xml:space="preserve">Page </w:t>
    </w:r>
    <w:r w:rsidR="00E22548" w:rsidRPr="0043634E">
      <w:rPr>
        <w:rFonts w:ascii="Calibri" w:hAnsi="Calibri" w:cs="Calibri"/>
        <w:b/>
        <w:bCs/>
        <w:sz w:val="20"/>
      </w:rPr>
      <w:fldChar w:fldCharType="begin"/>
    </w:r>
    <w:r w:rsidR="00E22548" w:rsidRPr="0043634E">
      <w:rPr>
        <w:rFonts w:ascii="Calibri" w:hAnsi="Calibri" w:cs="Calibri"/>
        <w:b/>
        <w:bCs/>
        <w:sz w:val="20"/>
      </w:rPr>
      <w:instrText>PAGE</w:instrText>
    </w:r>
    <w:r w:rsidR="00E22548" w:rsidRPr="0043634E">
      <w:rPr>
        <w:rFonts w:ascii="Calibri" w:hAnsi="Calibri" w:cs="Calibri"/>
        <w:b/>
        <w:bCs/>
        <w:sz w:val="20"/>
      </w:rPr>
      <w:fldChar w:fldCharType="separate"/>
    </w:r>
    <w:r w:rsidR="00C7210E">
      <w:rPr>
        <w:rFonts w:ascii="Calibri" w:hAnsi="Calibri" w:cs="Calibri"/>
        <w:b/>
        <w:bCs/>
        <w:noProof/>
        <w:sz w:val="20"/>
      </w:rPr>
      <w:t>2</w:t>
    </w:r>
    <w:r w:rsidR="00E22548" w:rsidRPr="0043634E">
      <w:rPr>
        <w:rFonts w:ascii="Calibri" w:hAnsi="Calibri" w:cs="Calibri"/>
        <w:b/>
        <w:bCs/>
        <w:sz w:val="20"/>
      </w:rPr>
      <w:fldChar w:fldCharType="end"/>
    </w:r>
    <w:r w:rsidR="00E22548" w:rsidRPr="0043634E">
      <w:rPr>
        <w:rFonts w:ascii="Calibri" w:hAnsi="Calibri" w:cs="Calibri"/>
        <w:sz w:val="20"/>
        <w:lang w:val="fr-FR"/>
      </w:rPr>
      <w:t xml:space="preserve"> sur </w:t>
    </w:r>
    <w:r w:rsidR="00E22548" w:rsidRPr="0043634E">
      <w:rPr>
        <w:rFonts w:ascii="Calibri" w:hAnsi="Calibri" w:cs="Calibri"/>
        <w:b/>
        <w:bCs/>
        <w:sz w:val="20"/>
      </w:rPr>
      <w:fldChar w:fldCharType="begin"/>
    </w:r>
    <w:r w:rsidR="00E22548" w:rsidRPr="0043634E">
      <w:rPr>
        <w:rFonts w:ascii="Calibri" w:hAnsi="Calibri" w:cs="Calibri"/>
        <w:b/>
        <w:bCs/>
        <w:sz w:val="20"/>
      </w:rPr>
      <w:instrText>NUMPAGES</w:instrText>
    </w:r>
    <w:r w:rsidR="00E22548" w:rsidRPr="0043634E">
      <w:rPr>
        <w:rFonts w:ascii="Calibri" w:hAnsi="Calibri" w:cs="Calibri"/>
        <w:b/>
        <w:bCs/>
        <w:sz w:val="20"/>
      </w:rPr>
      <w:fldChar w:fldCharType="separate"/>
    </w:r>
    <w:r w:rsidR="00C7210E">
      <w:rPr>
        <w:rFonts w:ascii="Calibri" w:hAnsi="Calibri" w:cs="Calibri"/>
        <w:b/>
        <w:bCs/>
        <w:noProof/>
        <w:sz w:val="20"/>
      </w:rPr>
      <w:t>3</w:t>
    </w:r>
    <w:r w:rsidR="00E22548" w:rsidRPr="0043634E">
      <w:rPr>
        <w:rFonts w:ascii="Calibri" w:hAnsi="Calibri" w:cs="Calibri"/>
        <w:b/>
        <w:bCs/>
        <w:sz w:val="20"/>
      </w:rPr>
      <w:fldChar w:fldCharType="end"/>
    </w:r>
  </w:p>
  <w:p w:rsidR="0092452D" w:rsidRDefault="009245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52D" w:rsidRDefault="0092452D" w:rsidP="0092452D">
      <w:pPr>
        <w:spacing w:after="0" w:line="240" w:lineRule="auto"/>
      </w:pPr>
      <w:r>
        <w:separator/>
      </w:r>
    </w:p>
  </w:footnote>
  <w:footnote w:type="continuationSeparator" w:id="0">
    <w:p w:rsidR="0092452D" w:rsidRDefault="0092452D" w:rsidP="0092452D">
      <w:pPr>
        <w:spacing w:after="0" w:line="240" w:lineRule="auto"/>
      </w:pPr>
      <w:r>
        <w:continuationSeparator/>
      </w:r>
    </w:p>
  </w:footnote>
  <w:footnote w:id="1">
    <w:p w:rsidR="00AB3E92" w:rsidRPr="009030BE" w:rsidRDefault="00AB3E92" w:rsidP="00AB3E92">
      <w:pPr>
        <w:pStyle w:val="Notedebasdepage"/>
        <w:rPr>
          <w:rFonts w:asciiTheme="minorHAnsi" w:hAnsiTheme="minorHAnsi" w:cstheme="minorHAnsi"/>
          <w:sz w:val="18"/>
          <w:szCs w:val="18"/>
          <w:lang w:val="fr-CH"/>
        </w:rPr>
      </w:pPr>
      <w:r w:rsidRPr="009030BE">
        <w:rPr>
          <w:rStyle w:val="Appelnotedebasdep"/>
          <w:rFonts w:asciiTheme="minorHAnsi" w:hAnsiTheme="minorHAnsi" w:cstheme="minorHAnsi"/>
          <w:sz w:val="18"/>
          <w:szCs w:val="18"/>
        </w:rPr>
        <w:footnoteRef/>
      </w:r>
      <w:r w:rsidRPr="009030BE">
        <w:rPr>
          <w:rFonts w:asciiTheme="minorHAnsi" w:hAnsiTheme="minorHAnsi" w:cstheme="minorHAnsi"/>
          <w:sz w:val="18"/>
          <w:szCs w:val="18"/>
          <w:lang w:val="fr-CH"/>
        </w:rPr>
        <w:t xml:space="preserve"> Actuellement la </w:t>
      </w:r>
      <w:r w:rsidRPr="009030BE">
        <w:rPr>
          <w:rFonts w:asciiTheme="minorHAnsi" w:hAnsiTheme="minorHAnsi" w:cstheme="minorHAnsi"/>
          <w:color w:val="333333"/>
          <w:sz w:val="18"/>
          <w:szCs w:val="18"/>
          <w:shd w:val="clear" w:color="auto" w:fill="FFFFFF"/>
          <w:lang w:val="fr-CH"/>
        </w:rPr>
        <w:t>Direction de la santé et des affaires sociales.</w:t>
      </w:r>
    </w:p>
  </w:footnote>
  <w:footnote w:id="2">
    <w:p w:rsidR="00AB3E92" w:rsidRPr="009030BE" w:rsidRDefault="00AB3E92" w:rsidP="00AB3E92">
      <w:pPr>
        <w:pStyle w:val="Notedebasdepage"/>
        <w:rPr>
          <w:rFonts w:asciiTheme="minorHAnsi" w:hAnsiTheme="minorHAnsi" w:cstheme="minorHAnsi"/>
          <w:sz w:val="18"/>
          <w:szCs w:val="18"/>
          <w:lang w:val="fr-CH"/>
        </w:rPr>
      </w:pPr>
      <w:r w:rsidRPr="009030BE">
        <w:rPr>
          <w:rStyle w:val="Appelnotedebasdep"/>
          <w:rFonts w:asciiTheme="minorHAnsi" w:hAnsiTheme="minorHAnsi" w:cstheme="minorHAnsi"/>
          <w:sz w:val="18"/>
          <w:szCs w:val="18"/>
        </w:rPr>
        <w:footnoteRef/>
      </w:r>
      <w:r w:rsidRPr="009030BE">
        <w:rPr>
          <w:rFonts w:asciiTheme="minorHAnsi" w:hAnsiTheme="minorHAnsi" w:cstheme="minorHAnsi"/>
          <w:sz w:val="18"/>
          <w:szCs w:val="18"/>
          <w:lang w:val="fr-CH"/>
        </w:rPr>
        <w:t xml:space="preserve"> Arrêt TC FR 601 2016 154 du 21 avril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399" w:hanging="284"/>
      </w:pPr>
      <w:rPr>
        <w:rFonts w:ascii="Arial Narrow" w:hAnsi="Arial Narrow"/>
        <w:b w:val="0"/>
        <w:i w:val="0"/>
        <w:w w:val="100"/>
        <w:sz w:val="22"/>
      </w:rPr>
    </w:lvl>
    <w:lvl w:ilvl="1">
      <w:numFmt w:val="bullet"/>
      <w:lvlText w:val="•"/>
      <w:lvlJc w:val="left"/>
      <w:pPr>
        <w:ind w:left="1292" w:hanging="284"/>
      </w:pPr>
    </w:lvl>
    <w:lvl w:ilvl="2">
      <w:numFmt w:val="bullet"/>
      <w:lvlText w:val="•"/>
      <w:lvlJc w:val="left"/>
      <w:pPr>
        <w:ind w:left="2185" w:hanging="284"/>
      </w:pPr>
    </w:lvl>
    <w:lvl w:ilvl="3">
      <w:numFmt w:val="bullet"/>
      <w:lvlText w:val="•"/>
      <w:lvlJc w:val="left"/>
      <w:pPr>
        <w:ind w:left="3077" w:hanging="284"/>
      </w:pPr>
    </w:lvl>
    <w:lvl w:ilvl="4">
      <w:numFmt w:val="bullet"/>
      <w:lvlText w:val="•"/>
      <w:lvlJc w:val="left"/>
      <w:pPr>
        <w:ind w:left="3970" w:hanging="284"/>
      </w:pPr>
    </w:lvl>
    <w:lvl w:ilvl="5">
      <w:numFmt w:val="bullet"/>
      <w:lvlText w:val="•"/>
      <w:lvlJc w:val="left"/>
      <w:pPr>
        <w:ind w:left="4863" w:hanging="284"/>
      </w:pPr>
    </w:lvl>
    <w:lvl w:ilvl="6">
      <w:numFmt w:val="bullet"/>
      <w:lvlText w:val="•"/>
      <w:lvlJc w:val="left"/>
      <w:pPr>
        <w:ind w:left="5755" w:hanging="284"/>
      </w:pPr>
    </w:lvl>
    <w:lvl w:ilvl="7">
      <w:numFmt w:val="bullet"/>
      <w:lvlText w:val="•"/>
      <w:lvlJc w:val="left"/>
      <w:pPr>
        <w:ind w:left="6648" w:hanging="284"/>
      </w:pPr>
    </w:lvl>
    <w:lvl w:ilvl="8">
      <w:numFmt w:val="bullet"/>
      <w:lvlText w:val="•"/>
      <w:lvlJc w:val="left"/>
      <w:pPr>
        <w:ind w:left="7541" w:hanging="284"/>
      </w:pPr>
    </w:lvl>
  </w:abstractNum>
  <w:abstractNum w:abstractNumId="1" w15:restartNumberingAfterBreak="0">
    <w:nsid w:val="0D0A6697"/>
    <w:multiLevelType w:val="hybridMultilevel"/>
    <w:tmpl w:val="155CE420"/>
    <w:lvl w:ilvl="0" w:tplc="58C4AFD2">
      <w:start w:val="1"/>
      <w:numFmt w:val="bullet"/>
      <w:lvlText w:val=""/>
      <w:lvlJc w:val="left"/>
      <w:pPr>
        <w:ind w:left="720" w:hanging="360"/>
      </w:pPr>
      <w:rPr>
        <w:rFonts w:ascii="Symbol" w:hAnsi="Symbol" w:hint="default"/>
        <w:sz w:val="1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DFA3B20"/>
    <w:multiLevelType w:val="hybridMultilevel"/>
    <w:tmpl w:val="156294D6"/>
    <w:lvl w:ilvl="0" w:tplc="1B887BD6">
      <w:start w:val="1"/>
      <w:numFmt w:val="bullet"/>
      <w:lvlText w:val="-"/>
      <w:lvlJc w:val="left"/>
      <w:pPr>
        <w:ind w:left="720" w:hanging="360"/>
      </w:pPr>
      <w:rPr>
        <w:rFonts w:ascii="Calibri" w:hAnsi="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00C1EAD"/>
    <w:multiLevelType w:val="hybridMultilevel"/>
    <w:tmpl w:val="5970AB10"/>
    <w:lvl w:ilvl="0" w:tplc="4D423A8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 w15:restartNumberingAfterBreak="0">
    <w:nsid w:val="22B93B6B"/>
    <w:multiLevelType w:val="hybridMultilevel"/>
    <w:tmpl w:val="F2B4792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47A671B"/>
    <w:multiLevelType w:val="hybridMultilevel"/>
    <w:tmpl w:val="77489AEC"/>
    <w:lvl w:ilvl="0" w:tplc="738E8D4E">
      <w:numFmt w:val="bullet"/>
      <w:lvlText w:val="-"/>
      <w:lvlJc w:val="left"/>
      <w:pPr>
        <w:ind w:left="1428" w:hanging="360"/>
      </w:pPr>
      <w:rPr>
        <w:rFonts w:ascii="Calibri" w:eastAsia="Calibri" w:hAnsi="Calibri" w:cs="Calibri" w:hint="default"/>
      </w:rPr>
    </w:lvl>
    <w:lvl w:ilvl="1" w:tplc="100C0003">
      <w:start w:val="1"/>
      <w:numFmt w:val="bullet"/>
      <w:lvlText w:val="o"/>
      <w:lvlJc w:val="left"/>
      <w:pPr>
        <w:ind w:left="2148" w:hanging="360"/>
      </w:pPr>
      <w:rPr>
        <w:rFonts w:ascii="Courier New" w:hAnsi="Courier New" w:cs="Courier New" w:hint="default"/>
      </w:rPr>
    </w:lvl>
    <w:lvl w:ilvl="2" w:tplc="100C0005">
      <w:start w:val="1"/>
      <w:numFmt w:val="bullet"/>
      <w:lvlText w:val=""/>
      <w:lvlJc w:val="left"/>
      <w:pPr>
        <w:ind w:left="2868" w:hanging="360"/>
      </w:pPr>
      <w:rPr>
        <w:rFonts w:ascii="Wingdings" w:hAnsi="Wingdings" w:hint="default"/>
      </w:rPr>
    </w:lvl>
    <w:lvl w:ilvl="3" w:tplc="100C0001">
      <w:start w:val="1"/>
      <w:numFmt w:val="bullet"/>
      <w:lvlText w:val=""/>
      <w:lvlJc w:val="left"/>
      <w:pPr>
        <w:ind w:left="3588" w:hanging="360"/>
      </w:pPr>
      <w:rPr>
        <w:rFonts w:ascii="Symbol" w:hAnsi="Symbol" w:hint="default"/>
      </w:rPr>
    </w:lvl>
    <w:lvl w:ilvl="4" w:tplc="100C0003">
      <w:start w:val="1"/>
      <w:numFmt w:val="bullet"/>
      <w:lvlText w:val="o"/>
      <w:lvlJc w:val="left"/>
      <w:pPr>
        <w:ind w:left="4308" w:hanging="360"/>
      </w:pPr>
      <w:rPr>
        <w:rFonts w:ascii="Courier New" w:hAnsi="Courier New" w:cs="Courier New" w:hint="default"/>
      </w:rPr>
    </w:lvl>
    <w:lvl w:ilvl="5" w:tplc="100C0005">
      <w:start w:val="1"/>
      <w:numFmt w:val="bullet"/>
      <w:lvlText w:val=""/>
      <w:lvlJc w:val="left"/>
      <w:pPr>
        <w:ind w:left="5028" w:hanging="360"/>
      </w:pPr>
      <w:rPr>
        <w:rFonts w:ascii="Wingdings" w:hAnsi="Wingdings" w:hint="default"/>
      </w:rPr>
    </w:lvl>
    <w:lvl w:ilvl="6" w:tplc="100C0001">
      <w:start w:val="1"/>
      <w:numFmt w:val="bullet"/>
      <w:lvlText w:val=""/>
      <w:lvlJc w:val="left"/>
      <w:pPr>
        <w:ind w:left="5748" w:hanging="360"/>
      </w:pPr>
      <w:rPr>
        <w:rFonts w:ascii="Symbol" w:hAnsi="Symbol" w:hint="default"/>
      </w:rPr>
    </w:lvl>
    <w:lvl w:ilvl="7" w:tplc="100C0003">
      <w:start w:val="1"/>
      <w:numFmt w:val="bullet"/>
      <w:lvlText w:val="o"/>
      <w:lvlJc w:val="left"/>
      <w:pPr>
        <w:ind w:left="6468" w:hanging="360"/>
      </w:pPr>
      <w:rPr>
        <w:rFonts w:ascii="Courier New" w:hAnsi="Courier New" w:cs="Courier New" w:hint="default"/>
      </w:rPr>
    </w:lvl>
    <w:lvl w:ilvl="8" w:tplc="100C0005">
      <w:start w:val="1"/>
      <w:numFmt w:val="bullet"/>
      <w:lvlText w:val=""/>
      <w:lvlJc w:val="left"/>
      <w:pPr>
        <w:ind w:left="7188" w:hanging="360"/>
      </w:pPr>
      <w:rPr>
        <w:rFonts w:ascii="Wingdings" w:hAnsi="Wingdings" w:hint="default"/>
      </w:rPr>
    </w:lvl>
  </w:abstractNum>
  <w:abstractNum w:abstractNumId="6" w15:restartNumberingAfterBreak="0">
    <w:nsid w:val="36103415"/>
    <w:multiLevelType w:val="hybridMultilevel"/>
    <w:tmpl w:val="08E82E9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6214E2E"/>
    <w:multiLevelType w:val="hybridMultilevel"/>
    <w:tmpl w:val="25D23702"/>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8" w15:restartNumberingAfterBreak="0">
    <w:nsid w:val="3839139B"/>
    <w:multiLevelType w:val="hybridMultilevel"/>
    <w:tmpl w:val="AA0058F2"/>
    <w:lvl w:ilvl="0" w:tplc="100C000F">
      <w:start w:val="1"/>
      <w:numFmt w:val="decimal"/>
      <w:lvlText w:val="%1."/>
      <w:lvlJc w:val="left"/>
      <w:pPr>
        <w:ind w:left="1287" w:hanging="360"/>
      </w:pPr>
      <w:rPr>
        <w:rFonts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9" w15:restartNumberingAfterBreak="0">
    <w:nsid w:val="3B2424EE"/>
    <w:multiLevelType w:val="multilevel"/>
    <w:tmpl w:val="1D3E2F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FFA10B4"/>
    <w:multiLevelType w:val="hybridMultilevel"/>
    <w:tmpl w:val="F86ABC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68A6171"/>
    <w:multiLevelType w:val="hybridMultilevel"/>
    <w:tmpl w:val="89E8F3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25836EE"/>
    <w:multiLevelType w:val="multilevel"/>
    <w:tmpl w:val="2FB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B4887"/>
    <w:multiLevelType w:val="hybridMultilevel"/>
    <w:tmpl w:val="F594E640"/>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14" w15:restartNumberingAfterBreak="0">
    <w:nsid w:val="5DB07FBB"/>
    <w:multiLevelType w:val="hybridMultilevel"/>
    <w:tmpl w:val="EE1896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1850736"/>
    <w:multiLevelType w:val="hybridMultilevel"/>
    <w:tmpl w:val="39BA0DB6"/>
    <w:lvl w:ilvl="0" w:tplc="3F562D5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6594289"/>
    <w:multiLevelType w:val="multilevel"/>
    <w:tmpl w:val="7E5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33BAF"/>
    <w:multiLevelType w:val="multilevel"/>
    <w:tmpl w:val="F08E2C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B5EA9"/>
    <w:multiLevelType w:val="multilevel"/>
    <w:tmpl w:val="EAC8B738"/>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Theme="minorEastAsia"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2F156F"/>
    <w:multiLevelType w:val="multilevel"/>
    <w:tmpl w:val="ED3E08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163305B"/>
    <w:multiLevelType w:val="hybridMultilevel"/>
    <w:tmpl w:val="A1D274E4"/>
    <w:lvl w:ilvl="0" w:tplc="100C000F">
      <w:start w:val="1"/>
      <w:numFmt w:val="decimal"/>
      <w:lvlText w:val="%1."/>
      <w:lvlJc w:val="left"/>
      <w:pPr>
        <w:ind w:left="720" w:hanging="360"/>
      </w:pPr>
    </w:lvl>
    <w:lvl w:ilvl="1" w:tplc="DF60E4DE">
      <w:start w:val="2"/>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4A76E12"/>
    <w:multiLevelType w:val="hybridMultilevel"/>
    <w:tmpl w:val="D518B280"/>
    <w:lvl w:ilvl="0" w:tplc="73E2303E">
      <w:start w:val="1"/>
      <w:numFmt w:val="bullet"/>
      <w:lvlText w:val="-"/>
      <w:lvlJc w:val="left"/>
      <w:pPr>
        <w:ind w:left="720" w:hanging="360"/>
      </w:pPr>
      <w:rPr>
        <w:rFonts w:ascii="Calibri" w:hAnsi="Calibri" w:hint="default"/>
        <w:sz w:val="1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84A729B"/>
    <w:multiLevelType w:val="hybridMultilevel"/>
    <w:tmpl w:val="B61A7EBC"/>
    <w:lvl w:ilvl="0" w:tplc="0A0CB08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8"/>
  </w:num>
  <w:num w:numId="5">
    <w:abstractNumId w:val="10"/>
  </w:num>
  <w:num w:numId="6">
    <w:abstractNumId w:val="9"/>
  </w:num>
  <w:num w:numId="7">
    <w:abstractNumId w:val="3"/>
  </w:num>
  <w:num w:numId="8">
    <w:abstractNumId w:val="20"/>
  </w:num>
  <w:num w:numId="9">
    <w:abstractNumId w:val="15"/>
  </w:num>
  <w:num w:numId="10">
    <w:abstractNumId w:val="18"/>
  </w:num>
  <w:num w:numId="11">
    <w:abstractNumId w:val="12"/>
  </w:num>
  <w:num w:numId="12">
    <w:abstractNumId w:val="16"/>
  </w:num>
  <w:num w:numId="13">
    <w:abstractNumId w:val="17"/>
  </w:num>
  <w:num w:numId="14">
    <w:abstractNumId w:val="0"/>
  </w:num>
  <w:num w:numId="15">
    <w:abstractNumId w:val="11"/>
  </w:num>
  <w:num w:numId="16">
    <w:abstractNumId w:val="4"/>
  </w:num>
  <w:num w:numId="17">
    <w:abstractNumId w:val="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21"/>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78"/>
    <w:rsid w:val="00045152"/>
    <w:rsid w:val="00056776"/>
    <w:rsid w:val="00060950"/>
    <w:rsid w:val="000967E6"/>
    <w:rsid w:val="00097B29"/>
    <w:rsid w:val="000A1F7E"/>
    <w:rsid w:val="000B2EF0"/>
    <w:rsid w:val="000D71EF"/>
    <w:rsid w:val="001265C1"/>
    <w:rsid w:val="00135AC5"/>
    <w:rsid w:val="00164678"/>
    <w:rsid w:val="00172E05"/>
    <w:rsid w:val="001878B0"/>
    <w:rsid w:val="00190C41"/>
    <w:rsid w:val="001B7600"/>
    <w:rsid w:val="001C26C0"/>
    <w:rsid w:val="0023494B"/>
    <w:rsid w:val="00270D23"/>
    <w:rsid w:val="002A75E3"/>
    <w:rsid w:val="002E37A0"/>
    <w:rsid w:val="002F57F6"/>
    <w:rsid w:val="00304CF9"/>
    <w:rsid w:val="0040318D"/>
    <w:rsid w:val="004043DC"/>
    <w:rsid w:val="0048218E"/>
    <w:rsid w:val="004A7CFC"/>
    <w:rsid w:val="004F1F11"/>
    <w:rsid w:val="005626AE"/>
    <w:rsid w:val="00575DC8"/>
    <w:rsid w:val="005909B8"/>
    <w:rsid w:val="005D08E8"/>
    <w:rsid w:val="00627BD7"/>
    <w:rsid w:val="0063021D"/>
    <w:rsid w:val="006353BE"/>
    <w:rsid w:val="00640345"/>
    <w:rsid w:val="00662DF1"/>
    <w:rsid w:val="00673C5A"/>
    <w:rsid w:val="006C7F36"/>
    <w:rsid w:val="006F6DE1"/>
    <w:rsid w:val="00711577"/>
    <w:rsid w:val="007348E2"/>
    <w:rsid w:val="00743155"/>
    <w:rsid w:val="00750E22"/>
    <w:rsid w:val="00760297"/>
    <w:rsid w:val="007A2C0C"/>
    <w:rsid w:val="007B638C"/>
    <w:rsid w:val="0085623B"/>
    <w:rsid w:val="00890C75"/>
    <w:rsid w:val="008916FC"/>
    <w:rsid w:val="009030BE"/>
    <w:rsid w:val="0092452D"/>
    <w:rsid w:val="00942174"/>
    <w:rsid w:val="009665EC"/>
    <w:rsid w:val="00973F05"/>
    <w:rsid w:val="00A17D0B"/>
    <w:rsid w:val="00A3338F"/>
    <w:rsid w:val="00A33E5B"/>
    <w:rsid w:val="00A57858"/>
    <w:rsid w:val="00AB3E92"/>
    <w:rsid w:val="00AD1D4A"/>
    <w:rsid w:val="00AE7CB2"/>
    <w:rsid w:val="00AF1614"/>
    <w:rsid w:val="00AF332C"/>
    <w:rsid w:val="00B054A4"/>
    <w:rsid w:val="00BB16BB"/>
    <w:rsid w:val="00BE0BE4"/>
    <w:rsid w:val="00BE6145"/>
    <w:rsid w:val="00C13979"/>
    <w:rsid w:val="00C27704"/>
    <w:rsid w:val="00C27CB6"/>
    <w:rsid w:val="00C3252D"/>
    <w:rsid w:val="00C35949"/>
    <w:rsid w:val="00C5525A"/>
    <w:rsid w:val="00C64EE1"/>
    <w:rsid w:val="00C65C54"/>
    <w:rsid w:val="00C7210E"/>
    <w:rsid w:val="00C75CE2"/>
    <w:rsid w:val="00CA7EDD"/>
    <w:rsid w:val="00D44703"/>
    <w:rsid w:val="00D50549"/>
    <w:rsid w:val="00D67058"/>
    <w:rsid w:val="00D71D1C"/>
    <w:rsid w:val="00D8646A"/>
    <w:rsid w:val="00DA2C7D"/>
    <w:rsid w:val="00DD6D36"/>
    <w:rsid w:val="00DE5316"/>
    <w:rsid w:val="00E22548"/>
    <w:rsid w:val="00E27457"/>
    <w:rsid w:val="00E4014F"/>
    <w:rsid w:val="00E64E5F"/>
    <w:rsid w:val="00E75D72"/>
    <w:rsid w:val="00E76C4F"/>
    <w:rsid w:val="00E918AF"/>
    <w:rsid w:val="00E93D61"/>
    <w:rsid w:val="00EA2906"/>
    <w:rsid w:val="00EE0CA7"/>
    <w:rsid w:val="00F136D2"/>
    <w:rsid w:val="00F16E49"/>
    <w:rsid w:val="00F26A50"/>
    <w:rsid w:val="00F46490"/>
    <w:rsid w:val="00F653C5"/>
    <w:rsid w:val="00F76406"/>
    <w:rsid w:val="00F96C95"/>
    <w:rsid w:val="00FD6CDB"/>
    <w:rsid w:val="00FD7E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AEAA6-B041-4266-8B38-E70B585D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2452D"/>
    <w:pPr>
      <w:tabs>
        <w:tab w:val="center" w:pos="4536"/>
        <w:tab w:val="right" w:pos="9072"/>
      </w:tabs>
      <w:spacing w:after="0" w:line="240" w:lineRule="auto"/>
    </w:pPr>
  </w:style>
  <w:style w:type="character" w:customStyle="1" w:styleId="En-tteCar">
    <w:name w:val="En-tête Car"/>
    <w:basedOn w:val="Policepardfaut"/>
    <w:link w:val="En-tte"/>
    <w:rsid w:val="0092452D"/>
  </w:style>
  <w:style w:type="paragraph" w:styleId="Pieddepage">
    <w:name w:val="footer"/>
    <w:basedOn w:val="Normal"/>
    <w:link w:val="PieddepageCar"/>
    <w:uiPriority w:val="99"/>
    <w:unhideWhenUsed/>
    <w:rsid w:val="009245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52D"/>
  </w:style>
  <w:style w:type="paragraph" w:customStyle="1" w:styleId="TextenormalPV">
    <w:name w:val="Texte normal PV"/>
    <w:basedOn w:val="Normal"/>
    <w:qFormat/>
    <w:rsid w:val="001C26C0"/>
    <w:pPr>
      <w:widowControl w:val="0"/>
      <w:autoSpaceDE w:val="0"/>
      <w:autoSpaceDN w:val="0"/>
      <w:adjustRightInd w:val="0"/>
      <w:spacing w:after="0" w:line="240" w:lineRule="auto"/>
    </w:pPr>
    <w:rPr>
      <w:rFonts w:eastAsiaTheme="minorEastAsia" w:cs="Times"/>
      <w:lang w:eastAsia="fr-CH"/>
    </w:rPr>
  </w:style>
  <w:style w:type="table" w:styleId="Grilledutableau">
    <w:name w:val="Table Grid"/>
    <w:basedOn w:val="TableauNormal"/>
    <w:rsid w:val="001C26C0"/>
    <w:pPr>
      <w:spacing w:after="0" w:line="240" w:lineRule="auto"/>
    </w:pPr>
    <w:rPr>
      <w:rFonts w:ascii="Calibri" w:eastAsia="Calibri" w:hAnsi="Calibri" w:cs="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0C41"/>
    <w:pPr>
      <w:ind w:left="720"/>
      <w:contextualSpacing/>
    </w:pPr>
  </w:style>
  <w:style w:type="paragraph" w:styleId="Notedebasdepage">
    <w:name w:val="footnote text"/>
    <w:basedOn w:val="Normal"/>
    <w:link w:val="NotedebasdepageCar"/>
    <w:semiHidden/>
    <w:unhideWhenUsed/>
    <w:rsid w:val="00A57858"/>
    <w:pPr>
      <w:spacing w:after="0" w:line="240" w:lineRule="auto"/>
      <w:jc w:val="both"/>
    </w:pPr>
    <w:rPr>
      <w:rFonts w:ascii="Arial" w:eastAsia="Times New Roman" w:hAnsi="Arial" w:cs="Times New Roman"/>
      <w:sz w:val="16"/>
      <w:szCs w:val="20"/>
      <w:lang w:val="de-DE" w:eastAsia="ar-SA"/>
    </w:rPr>
  </w:style>
  <w:style w:type="character" w:customStyle="1" w:styleId="NotedebasdepageCar">
    <w:name w:val="Note de bas de page Car"/>
    <w:basedOn w:val="Policepardfaut"/>
    <w:link w:val="Notedebasdepage"/>
    <w:semiHidden/>
    <w:rsid w:val="00A57858"/>
    <w:rPr>
      <w:rFonts w:ascii="Arial" w:eastAsia="Times New Roman" w:hAnsi="Arial" w:cs="Times New Roman"/>
      <w:sz w:val="16"/>
      <w:szCs w:val="20"/>
      <w:lang w:val="de-DE" w:eastAsia="ar-SA"/>
    </w:rPr>
  </w:style>
  <w:style w:type="character" w:styleId="Appelnotedebasdep">
    <w:name w:val="footnote reference"/>
    <w:basedOn w:val="Policepardfaut"/>
    <w:unhideWhenUsed/>
    <w:rsid w:val="00A57858"/>
    <w:rPr>
      <w:vertAlign w:val="superscript"/>
    </w:rPr>
  </w:style>
  <w:style w:type="character" w:styleId="Lienhypertexte">
    <w:name w:val="Hyperlink"/>
    <w:basedOn w:val="Policepardfaut"/>
    <w:uiPriority w:val="99"/>
    <w:unhideWhenUsed/>
    <w:rsid w:val="00A57858"/>
    <w:rPr>
      <w:color w:val="0000FF" w:themeColor="hyperlink"/>
      <w:u w:val="single"/>
    </w:rPr>
  </w:style>
  <w:style w:type="paragraph" w:styleId="Textedebulles">
    <w:name w:val="Balloon Text"/>
    <w:basedOn w:val="Normal"/>
    <w:link w:val="TextedebullesCar"/>
    <w:uiPriority w:val="99"/>
    <w:semiHidden/>
    <w:unhideWhenUsed/>
    <w:rsid w:val="007A2C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2C0C"/>
    <w:rPr>
      <w:rFonts w:ascii="Segoe UI" w:hAnsi="Segoe UI" w:cs="Segoe UI"/>
      <w:sz w:val="18"/>
      <w:szCs w:val="18"/>
    </w:rPr>
  </w:style>
  <w:style w:type="character" w:customStyle="1" w:styleId="TextepvCar">
    <w:name w:val="Texte pv Car"/>
    <w:link w:val="Textepv"/>
    <w:locked/>
    <w:rsid w:val="00C5525A"/>
    <w:rPr>
      <w:rFonts w:ascii="Arial" w:hAnsi="Arial" w:cs="Arial"/>
    </w:rPr>
  </w:style>
  <w:style w:type="paragraph" w:customStyle="1" w:styleId="Textepv">
    <w:name w:val="Texte pv"/>
    <w:basedOn w:val="Paragraphedeliste"/>
    <w:link w:val="TextepvCar"/>
    <w:qFormat/>
    <w:rsid w:val="00C5525A"/>
    <w:pPr>
      <w:spacing w:after="0" w:line="240" w:lineRule="auto"/>
      <w:ind w:left="0"/>
      <w:contextualSpacing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073">
      <w:bodyDiv w:val="1"/>
      <w:marLeft w:val="0"/>
      <w:marRight w:val="0"/>
      <w:marTop w:val="0"/>
      <w:marBottom w:val="0"/>
      <w:divBdr>
        <w:top w:val="none" w:sz="0" w:space="0" w:color="auto"/>
        <w:left w:val="none" w:sz="0" w:space="0" w:color="auto"/>
        <w:bottom w:val="none" w:sz="0" w:space="0" w:color="auto"/>
        <w:right w:val="none" w:sz="0" w:space="0" w:color="auto"/>
      </w:divBdr>
    </w:div>
    <w:div w:id="5215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E6C4F-D762-48DC-AF5E-79A6E1BF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5831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Ville de Fribourg</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Burgener Woeffray Andrea</dc:creator>
  <cp:keywords/>
  <dc:description/>
  <cp:lastModifiedBy>Marvardi Nathalie</cp:lastModifiedBy>
  <cp:revision>4</cp:revision>
  <cp:lastPrinted>2023-02-15T08:13:00Z</cp:lastPrinted>
  <dcterms:created xsi:type="dcterms:W3CDTF">2023-02-15T07:15:00Z</dcterms:created>
  <dcterms:modified xsi:type="dcterms:W3CDTF">2023-02-15T08:13:00Z</dcterms:modified>
</cp:coreProperties>
</file>